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учетная политика предприятия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и учетная политика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и учетная политика предприятия»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финансовой политики предприятия. Финансовая стратегия</w:t>
            </w:r>
          </w:p>
          <w:p>
            <w:pPr>
              <w:jc w:val="both"/>
              <w:spacing w:after="0" w:line="240" w:lineRule="auto"/>
              <w:rPr>
                <w:sz w:val="24"/>
                <w:szCs w:val="24"/>
              </w:rPr>
            </w:pPr>
            <w:r>
              <w:rPr>
                <w:rFonts w:ascii="Times New Roman" w:hAnsi="Times New Roman" w:cs="Times New Roman"/>
                <w:color w:val="#000000"/>
                <w:sz w:val="24"/>
                <w:szCs w:val="24"/>
              </w:rPr>
              <w:t>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оборотными активами.  Управление запасами. Управление</w:t>
            </w:r>
          </w:p>
          <w:p>
            <w:pPr>
              <w:jc w:val="both"/>
              <w:spacing w:after="0" w:line="240" w:lineRule="auto"/>
              <w:rPr>
                <w:sz w:val="24"/>
                <w:szCs w:val="24"/>
              </w:rPr>
            </w:pPr>
            <w:r>
              <w:rPr>
                <w:rFonts w:ascii="Times New Roman" w:hAnsi="Times New Roman" w:cs="Times New Roman"/>
                <w:color w:val="#000000"/>
                <w:sz w:val="24"/>
                <w:szCs w:val="24"/>
              </w:rPr>
              <w:t> дебиторской задолженностью и денежными активами. Управление краткосрочными обязательствами.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финансовой политики. 2. Финансовое планирование и прогнозирование. 3. Виды бюджетов предприятия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и долгосрочная финансовая политика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trPr>
          <w:trHeight w:hRule="exact" w:val="14.70022"/>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учетной политики. 2. Учетная политика для целей бухгалтерского учета. 3. Учетная политика для целей налогового учета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Когденко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Быковников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целей</w:t>
            </w:r>
            <w:r>
              <w:rPr/>
              <w:t xml:space="preserve"> </w:t>
            </w:r>
            <w:r>
              <w:rPr>
                <w:rFonts w:ascii="Times New Roman" w:hAnsi="Times New Roman" w:cs="Times New Roman"/>
                <w:color w:val="#000000"/>
                <w:sz w:val="24"/>
                <w:szCs w:val="24"/>
              </w:rPr>
              <w:t>налогообложения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p>
        </w:tc>
      </w:tr>
      <w:tr>
        <w:trPr>
          <w:trHeight w:hRule="exact" w:val="750.875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978-5-7267-0852-2.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http://www.iprbookshop.ru/72780.html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http://www.iprbookshop.ru/54722.html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2023-2024_ФГОС3++2023_Бак-ЗФО-Э(УАиА)(23)_plx_Финансовая и учетная политика предприятия</dc:title>
  <dc:creator>FastReport.NET</dc:creator>
</cp:coreProperties>
</file>